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EC" w:rsidRPr="00573C8F" w:rsidRDefault="00E158EC" w:rsidP="00E15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158EC" w:rsidRPr="00573C8F" w:rsidRDefault="00E158EC" w:rsidP="00E158EC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158EC" w:rsidRPr="00573C8F" w:rsidRDefault="00E158EC" w:rsidP="00E158E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158EC" w:rsidRPr="00ED0DD9" w:rsidTr="00CC0C0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158EC" w:rsidRPr="00ED0DD9" w:rsidRDefault="00E158EC" w:rsidP="00CC0C0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158EC" w:rsidRPr="00ED0DD9" w:rsidRDefault="00E158EC" w:rsidP="00CC0C0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158EC" w:rsidRPr="00ED0DD9" w:rsidTr="00CC0C0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58EC" w:rsidRPr="00ED0DD9" w:rsidRDefault="00E158EC" w:rsidP="00CC0C0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58EC" w:rsidRPr="00ED0DD9" w:rsidRDefault="00E158EC" w:rsidP="00CC0C0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158EC" w:rsidRPr="00ED0DD9" w:rsidTr="00CC0C07">
        <w:tc>
          <w:tcPr>
            <w:tcW w:w="4680" w:type="dxa"/>
            <w:hideMark/>
          </w:tcPr>
          <w:p w:rsidR="00E158EC" w:rsidRPr="00ED0DD9" w:rsidRDefault="00E158EC" w:rsidP="00637E5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637E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30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637E5A" w:rsidRPr="00637E5A">
              <w:rPr>
                <w:rFonts w:ascii="Arial" w:hAnsi="Arial" w:cs="Arial"/>
                <w:i w:val="0"/>
                <w:iCs w:val="0"/>
                <w:szCs w:val="24"/>
              </w:rPr>
              <w:t xml:space="preserve">августа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158EC" w:rsidRPr="00ED0DD9" w:rsidRDefault="00E158EC" w:rsidP="00E158EC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12</w:t>
            </w:r>
          </w:p>
        </w:tc>
      </w:tr>
    </w:tbl>
    <w:p w:rsidR="00E158EC" w:rsidRDefault="00E158EC" w:rsidP="00E158EC">
      <w:pPr>
        <w:jc w:val="center"/>
        <w:rPr>
          <w:rFonts w:ascii="Arial" w:hAnsi="Arial" w:cs="Arial"/>
          <w:b/>
          <w:sz w:val="24"/>
          <w:szCs w:val="24"/>
        </w:rPr>
      </w:pPr>
    </w:p>
    <w:p w:rsidR="00E158EC" w:rsidRDefault="00E158EC" w:rsidP="00E158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58EC" w:rsidRPr="00E158EC" w:rsidRDefault="00E158EC" w:rsidP="00E158EC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158EC" w:rsidRDefault="00E158EC" w:rsidP="00E15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  изменений   в решение  Совета Орловского сельского            поселения от 14.12.2018   №21     «Об утверждении Правил   благоустройства  территории  муниципального  образования Орловское сельское поселение</w:t>
      </w:r>
    </w:p>
    <w:p w:rsidR="00E158EC" w:rsidRDefault="00E158EC" w:rsidP="00E15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E158EC" w:rsidRDefault="00E158EC" w:rsidP="00E15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58EC" w:rsidRDefault="00E158EC" w:rsidP="00E158EC">
      <w:pPr>
        <w:pStyle w:val="ConsPlusNormal"/>
        <w:rPr>
          <w:sz w:val="24"/>
          <w:szCs w:val="24"/>
        </w:rPr>
      </w:pPr>
    </w:p>
    <w:p w:rsidR="00E158EC" w:rsidRDefault="00E158EC" w:rsidP="00E15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Федерации,</w:t>
      </w:r>
    </w:p>
    <w:p w:rsidR="00E158EC" w:rsidRDefault="00E158EC" w:rsidP="00E158EC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E158EC" w:rsidRDefault="00E158EC" w:rsidP="00E158E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E158EC" w:rsidRDefault="00E158EC" w:rsidP="00E158E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1.Внести в решение Орловского сельского поселения от 14.12.2018 № 21 «Об утверждении Правил       благоустройства  территории  муниципального     образования Орловское сельское поселение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области» (далее - Решение) следующие изменения: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1)в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 </w:t>
      </w:r>
    </w:p>
    <w:p w:rsidR="00E158EC" w:rsidRDefault="00E158EC" w:rsidP="00E158EC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2) в </w:t>
      </w:r>
      <w:hyperlink r:id="rId5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Правила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территории Орловского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утвержденные указанным Решением:</w:t>
      </w:r>
    </w:p>
    <w:p w:rsidR="00E158EC" w:rsidRDefault="00E158EC" w:rsidP="00E158EC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а) в пункте 1.2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б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)ч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асти 2.2, 2.8, 2.16, 2.17, 2.23, 2.26 статьи 2 исключить 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 xml:space="preserve">татью 4 изложить в следующей редакции: 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4. Порядок участия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благоустройстве прилегающих территорий.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>
        <w:rPr>
          <w:rFonts w:ascii="Arial" w:hAnsi="Arial" w:cs="Arial"/>
          <w:sz w:val="24"/>
          <w:szCs w:val="24"/>
        </w:rPr>
        <w:lastRenderedPageBreak/>
        <w:t>принимают участие, в том числе финансовое, в содержании прилегающих территорий.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Определение границ прилегающих территорий осуществляется Администрацией </w:t>
      </w:r>
      <w:r>
        <w:rPr>
          <w:rFonts w:ascii="Arial" w:hAnsi="Arial" w:cs="Arial"/>
          <w:color w:val="000000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с составлением карты-схемы прилегающей территории, согласованной с собственниками зданий (помещений в них) и сооружений (далее - собственники). Согласованная карта-схема утверждается постановлением Администрации </w:t>
      </w:r>
      <w:r>
        <w:rPr>
          <w:rFonts w:ascii="Arial" w:hAnsi="Arial" w:cs="Arial"/>
          <w:color w:val="000000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требованиями, определяемыми в настоящих Правилах.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границах прилегающих территорий могут располагаться следующие территории общего пользования или их части: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пешеходные коммуникации, в том числе тротуары, аллеи, дорожки, тропинки;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палисадники, клумбы;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Границы прилегающей территории определяются: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1)для мест производства земляных, дорожно-ремонтных работ,</w:t>
      </w:r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hyperlink r:id="rId6" w:tooltip="Ремонтные работы" w:history="1">
        <w:r>
          <w:rPr>
            <w:rStyle w:val="a3"/>
            <w:rFonts w:ascii="Arial" w:hAnsi="Arial" w:cs="Arial"/>
            <w:bCs/>
            <w:bdr w:val="none" w:sz="0" w:space="0" w:color="auto" w:frame="1"/>
          </w:rPr>
          <w:t>работ по ремонту</w:t>
        </w:r>
      </w:hyperlink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bdr w:val="none" w:sz="0" w:space="0" w:color="auto" w:frame="1"/>
        </w:rPr>
        <w:t>инженерных сетей и коммуникаций, фасадов и иных элементов строений, зданий и сооружений, установке сре</w:t>
      </w:r>
      <w:proofErr w:type="gramStart"/>
      <w:r>
        <w:rPr>
          <w:rFonts w:ascii="Arial" w:hAnsi="Arial" w:cs="Arial"/>
          <w:bCs/>
          <w:bdr w:val="none" w:sz="0" w:space="0" w:color="auto" w:frame="1"/>
        </w:rPr>
        <w:t>дств ст</w:t>
      </w:r>
      <w:proofErr w:type="gramEnd"/>
      <w:r>
        <w:rPr>
          <w:rFonts w:ascii="Arial" w:hAnsi="Arial" w:cs="Arial"/>
          <w:bCs/>
          <w:bdr w:val="none" w:sz="0" w:space="0" w:color="auto" w:frame="1"/>
        </w:rPr>
        <w:t>абильного территориального размещения</w:t>
      </w:r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</w:rPr>
        <w:t>- в радиусе 5 метров от объекта производства работ;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2)для строительных площадок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- не менее 15 метров от ограждения стройки по всему периметру;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3)для объектов временной уличной торговли</w:t>
      </w:r>
      <w:r>
        <w:rPr>
          <w:rFonts w:ascii="Arial" w:hAnsi="Arial" w:cs="Arial"/>
        </w:rPr>
        <w:t>, в том числе торговых павильонов, торговых комплексов, палаток, киосков - в радиусе не менее 10 метров от объекта торговли;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4)для территории хозяйствующих субъектов </w:t>
      </w:r>
      <w:r>
        <w:rPr>
          <w:rFonts w:ascii="Arial" w:hAnsi="Arial" w:cs="Arial"/>
        </w:rPr>
        <w:t>- в радиусе не менее 5 метров от границы территории хозяйствующего субъекта. Под хозяйствующим субъектом понимается</w:t>
      </w:r>
      <w:r>
        <w:rPr>
          <w:rStyle w:val="apple-converted-space"/>
          <w:rFonts w:ascii="Arial" w:hAnsi="Arial" w:cs="Arial"/>
        </w:rPr>
        <w:t xml:space="preserve"> </w:t>
      </w:r>
      <w:hyperlink r:id="rId7" w:tooltip="Индивидуальное предпринимательство" w:history="1">
        <w:r>
          <w:rPr>
            <w:rStyle w:val="a3"/>
            <w:rFonts w:ascii="Arial" w:hAnsi="Arial" w:cs="Arial"/>
            <w:bdr w:val="none" w:sz="0" w:space="0" w:color="auto" w:frame="1"/>
          </w:rPr>
          <w:t>индивидуальный предприниматель</w:t>
        </w:r>
      </w:hyperlink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 xml:space="preserve"> </w:t>
      </w:r>
      <w:hyperlink r:id="rId8" w:tooltip="Коммерческие организации" w:history="1">
        <w:r>
          <w:rPr>
            <w:rStyle w:val="a3"/>
            <w:rFonts w:ascii="Arial" w:hAnsi="Arial" w:cs="Arial"/>
            <w:bdr w:val="none" w:sz="0" w:space="0" w:color="auto" w:frame="1"/>
          </w:rPr>
          <w:t>коммерческая организация</w:t>
        </w:r>
      </w:hyperlink>
      <w:r>
        <w:rPr>
          <w:rFonts w:ascii="Arial" w:hAnsi="Arial" w:cs="Arial"/>
        </w:rPr>
        <w:t>, а также</w:t>
      </w:r>
      <w:r>
        <w:rPr>
          <w:rStyle w:val="apple-converted-space"/>
          <w:rFonts w:ascii="Arial" w:hAnsi="Arial" w:cs="Arial"/>
        </w:rPr>
        <w:t xml:space="preserve"> </w:t>
      </w:r>
      <w:hyperlink r:id="rId9" w:tooltip="Некоммерческие организации" w:history="1">
        <w:r>
          <w:rPr>
            <w:rStyle w:val="a3"/>
            <w:rFonts w:ascii="Arial" w:hAnsi="Arial" w:cs="Arial"/>
            <w:bdr w:val="none" w:sz="0" w:space="0" w:color="auto" w:frame="1"/>
          </w:rPr>
          <w:t>некоммерческая организация</w:t>
        </w:r>
      </w:hyperlink>
      <w:r>
        <w:rPr>
          <w:rFonts w:ascii="Arial" w:hAnsi="Arial" w:cs="Arial"/>
        </w:rPr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5)для территории частного домовладения</w:t>
      </w:r>
      <w:r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>
        <w:rPr>
          <w:rFonts w:ascii="Arial" w:hAnsi="Arial" w:cs="Arial"/>
        </w:rPr>
        <w:t>со стороны дорог, улиц (переулков, проходов, проездов) - в радиусе не менее 5 метров;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6)для многоквартирного дома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земельный участок, на котором расположен многоквартирный </w:t>
      </w:r>
      <w:proofErr w:type="gramStart"/>
      <w:r>
        <w:rPr>
          <w:rFonts w:ascii="Arial" w:hAnsi="Arial" w:cs="Arial"/>
        </w:rPr>
        <w:t>дом</w:t>
      </w:r>
      <w:proofErr w:type="gramEnd"/>
      <w:r>
        <w:rPr>
          <w:rFonts w:ascii="Arial" w:hAnsi="Arial" w:cs="Arial"/>
        </w:rPr>
        <w:t xml:space="preserve"> и границы которого определены на основании данных </w:t>
      </w:r>
      <w:hyperlink r:id="rId10" w:tooltip="Государственный кадастровый учет" w:history="1">
        <w:r>
          <w:rPr>
            <w:rStyle w:val="a3"/>
            <w:rFonts w:ascii="Arial" w:hAnsi="Arial" w:cs="Arial"/>
            <w:bdr w:val="none" w:sz="0" w:space="0" w:color="auto" w:frame="1"/>
          </w:rPr>
          <w:t>государственного кадастрового учета</w:t>
        </w:r>
      </w:hyperlink>
      <w:r>
        <w:rPr>
          <w:rFonts w:ascii="Arial" w:hAnsi="Arial" w:cs="Arial"/>
        </w:rPr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</w:t>
      </w:r>
      <w:r>
        <w:rPr>
          <w:rStyle w:val="apple-converted-space"/>
          <w:rFonts w:ascii="Arial" w:hAnsi="Arial" w:cs="Arial"/>
        </w:rPr>
        <w:t xml:space="preserve"> </w:t>
      </w:r>
      <w:hyperlink r:id="rId11" w:tooltip="Колл" w:history="1">
        <w:r>
          <w:rPr>
            <w:rStyle w:val="a3"/>
            <w:rFonts w:ascii="Arial" w:hAnsi="Arial" w:cs="Arial"/>
            <w:bdr w:val="none" w:sz="0" w:space="0" w:color="auto" w:frame="1"/>
          </w:rPr>
          <w:t>коллективные</w:t>
        </w:r>
      </w:hyperlink>
      <w:r>
        <w:rPr>
          <w:rFonts w:ascii="Arial" w:hAnsi="Arial" w:cs="Arial"/>
        </w:rPr>
        <w:t xml:space="preserve"> </w:t>
      </w:r>
      <w:hyperlink r:id="rId12" w:tooltip="Автостоянка" w:history="1">
        <w:r>
          <w:rPr>
            <w:rStyle w:val="a3"/>
            <w:rFonts w:ascii="Arial" w:hAnsi="Arial" w:cs="Arial"/>
            <w:bdr w:val="none" w:sz="0" w:space="0" w:color="auto" w:frame="1"/>
          </w:rPr>
          <w:t>автостоянки</w:t>
        </w:r>
      </w:hyperlink>
      <w:r>
        <w:rPr>
          <w:rFonts w:ascii="Arial" w:hAnsi="Arial" w:cs="Arial"/>
        </w:rPr>
        <w:t>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если не проведен кадастровый</w:t>
      </w:r>
      <w:r>
        <w:rPr>
          <w:rStyle w:val="apple-converted-space"/>
          <w:rFonts w:ascii="Arial" w:hAnsi="Arial" w:cs="Arial"/>
        </w:rPr>
        <w:t xml:space="preserve"> </w:t>
      </w:r>
      <w:hyperlink r:id="rId13" w:tooltip="Учет земли и недвижимости" w:history="1">
        <w:r>
          <w:rPr>
            <w:rStyle w:val="a3"/>
            <w:rFonts w:ascii="Arial" w:hAnsi="Arial" w:cs="Arial"/>
            <w:bdr w:val="none" w:sz="0" w:space="0" w:color="auto" w:frame="1"/>
          </w:rPr>
          <w:t>учет земельного участка</w:t>
        </w:r>
      </w:hyperlink>
      <w:r>
        <w:rPr>
          <w:rFonts w:ascii="Arial" w:hAnsi="Arial" w:cs="Arial"/>
        </w:rPr>
        <w:t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Границы прилегающей территории определяются с учетом следующих ограничений: 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1) в отношении каждого здания, строения, сооружен</w:t>
      </w:r>
      <w:r>
        <w:rPr>
          <w:rFonts w:ascii="Arial" w:hAnsi="Arial" w:cs="Arial"/>
          <w:color w:val="333333"/>
          <w:bdr w:val="none" w:sz="0" w:space="0" w:color="auto" w:frame="1"/>
        </w:rPr>
        <w:t>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вкрапливания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</w:t>
      </w:r>
      <w:r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</w:rPr>
        <w:t xml:space="preserve"> сельского поселения с письменным заявлением о закреплении прилегающей территории.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К заявлению представляются следующие документы: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копия кадастрового или технического паспорта на объект (при наличии).</w:t>
      </w:r>
    </w:p>
    <w:p w:rsidR="00E158EC" w:rsidRDefault="00E158EC" w:rsidP="00E158E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Заявление с прилагаемыми к нему документами рассматривается Администрацией </w:t>
      </w:r>
      <w:r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</w:rPr>
        <w:t xml:space="preserve"> сельского поселения в срок, не превышающий 10 рабочих дней со дня поступления заявления. 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Утвержденные карты-схемы прилегающих территорий публикуются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«Территория»»;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ункт 2 части 20.6 статьи 20 исключить.</w:t>
      </w:r>
    </w:p>
    <w:p w:rsidR="00E158EC" w:rsidRDefault="00E158EC" w:rsidP="00E1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2. 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«Территория»,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E158EC" w:rsidRDefault="00E158EC" w:rsidP="00E158E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158EC" w:rsidRDefault="00E158EC" w:rsidP="00E158E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158EC" w:rsidRDefault="00F61980" w:rsidP="00E158E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F61980" w:rsidRDefault="00F61980" w:rsidP="00F61980">
      <w:pPr>
        <w:pStyle w:val="1"/>
        <w:tabs>
          <w:tab w:val="left" w:pos="993"/>
          <w:tab w:val="left" w:pos="699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E158EC" w:rsidRDefault="00E158EC" w:rsidP="00E158E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158EC" w:rsidRDefault="00E158EC" w:rsidP="00E158E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color w:val="000000"/>
          <w:sz w:val="24"/>
          <w:szCs w:val="24"/>
        </w:rPr>
        <w:t>Орловского</w:t>
      </w:r>
    </w:p>
    <w:p w:rsidR="00E158EC" w:rsidRDefault="00E158EC" w:rsidP="00E158E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proofErr w:type="spellStart"/>
      <w:r w:rsidR="00F61980">
        <w:rPr>
          <w:rFonts w:ascii="Arial" w:hAnsi="Arial" w:cs="Arial"/>
          <w:sz w:val="24"/>
          <w:szCs w:val="24"/>
        </w:rPr>
        <w:t>Г.Н.</w:t>
      </w:r>
      <w:r>
        <w:rPr>
          <w:rFonts w:ascii="Arial" w:hAnsi="Arial" w:cs="Arial"/>
          <w:sz w:val="24"/>
          <w:szCs w:val="24"/>
        </w:rPr>
        <w:t>Мартюков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170BCD" w:rsidRDefault="00170BCD"/>
    <w:sectPr w:rsidR="0017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4A"/>
    <w:rsid w:val="00170BCD"/>
    <w:rsid w:val="0054184A"/>
    <w:rsid w:val="00637E5A"/>
    <w:rsid w:val="00E158EC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58E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158E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15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158E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58E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158E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15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158E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mercheskie_organizatcii/" TargetMode="External"/><Relationship Id="rId13" Type="http://schemas.openxmlformats.org/officeDocument/2006/relationships/hyperlink" Target="https://pandia.ru/text/category/uchet_zemli_i_nedvizh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hyperlink" Target="https://pandia.ru/text/category/avtostoya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emontnie_raboti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gosudarstvennij_kadastrovij_u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ekommercheskie_organiz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2019-07-11T05:29:00Z</cp:lastPrinted>
  <dcterms:created xsi:type="dcterms:W3CDTF">2019-07-11T05:16:00Z</dcterms:created>
  <dcterms:modified xsi:type="dcterms:W3CDTF">2019-09-06T05:35:00Z</dcterms:modified>
</cp:coreProperties>
</file>